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DC696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DC696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77777777" w:rsidR="00DC6965" w:rsidRPr="00EF443D" w:rsidRDefault="00DC6965" w:rsidP="00DC6965">
      <w:pPr>
        <w:ind w:right="-1"/>
        <w:jc w:val="right"/>
        <w:rPr>
          <w:color w:val="auto"/>
        </w:rPr>
      </w:pPr>
      <w:r w:rsidRPr="00EF443D">
        <w:rPr>
          <w:rFonts w:hint="eastAsia"/>
          <w:color w:val="auto"/>
        </w:rPr>
        <w:t xml:space="preserve">　　　　　　　　　　　　　　　　　　　　　　　　　　平成２９年　　月　　日</w:t>
      </w:r>
    </w:p>
    <w:p w14:paraId="0ABFE6EC" w14:textId="77777777" w:rsidR="00DC6965" w:rsidRPr="00FE48B4" w:rsidRDefault="00DC6965" w:rsidP="00DC6965">
      <w:pPr>
        <w:jc w:val="left"/>
        <w:rPr>
          <w:color w:val="auto"/>
        </w:rPr>
      </w:pP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EF" w14:textId="77777777" w:rsidR="00DC6965" w:rsidRPr="00EF443D" w:rsidRDefault="00DC6965" w:rsidP="00DC6965">
      <w:pPr>
        <w:overflowPunct/>
        <w:autoSpaceDE w:val="0"/>
        <w:autoSpaceDN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60C5547F" w:rsidR="00DC6965" w:rsidRPr="00EF443D" w:rsidRDefault="00AC32C1" w:rsidP="00AC32C1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平成29年度</w:t>
      </w:r>
      <w:r w:rsidR="00572D52">
        <w:rPr>
          <w:rFonts w:asciiTheme="majorEastAsia" w:eastAsiaTheme="majorEastAsia" w:hAnsiTheme="majorEastAsia" w:hint="eastAsia"/>
          <w:color w:val="auto"/>
        </w:rPr>
        <w:t>小値賀町</w:t>
      </w:r>
      <w:r w:rsidR="006159F2">
        <w:rPr>
          <w:rFonts w:asciiTheme="majorEastAsia" w:eastAsiaTheme="majorEastAsia" w:hAnsiTheme="majorEastAsia" w:hint="eastAsia"/>
          <w:color w:val="auto"/>
        </w:rPr>
        <w:t>雇用機会拡充事業</w:t>
      </w:r>
      <w:r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572D52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1BF1814" w14:textId="77777777" w:rsidR="00450CBF" w:rsidRPr="00450CBF" w:rsidRDefault="00450CBF" w:rsidP="00450CBF"/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  <w:bookmarkStart w:id="0" w:name="_GoBack"/>
      <w:bookmarkEnd w:id="0"/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37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0D4780CE" w:rsidR="00450CBF" w:rsidRPr="00572D52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</w:rPr>
            </w:pPr>
            <w:r w:rsidRPr="00572D52">
              <w:rPr>
                <w:rFonts w:cs="Century" w:hint="eastAsia"/>
              </w:rPr>
              <w:t xml:space="preserve">　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D1DA62" w14:textId="5FE7EAF2" w:rsidR="00450CBF" w:rsidRPr="00572D52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</w:rPr>
            </w:pPr>
            <w:r w:rsidRPr="00572D52">
              <w:rPr>
                <w:rFonts w:cs="Century" w:hint="eastAsia"/>
              </w:rPr>
              <w:t xml:space="preserve">　製品・サービスに新規性があり市場訴求力の高さ</w:t>
            </w:r>
          </w:p>
          <w:p w14:paraId="0ABFE70A" w14:textId="34B3B91E" w:rsidR="00450CBF" w:rsidRPr="00EF443D" w:rsidRDefault="00450CBF" w:rsidP="00450CBF">
            <w:pPr>
              <w:pStyle w:val="af6"/>
              <w:spacing w:line="280" w:lineRule="exact"/>
              <w:ind w:leftChars="0" w:left="0"/>
              <w:rPr>
                <w:rFonts w:cs="Century"/>
                <w:szCs w:val="21"/>
              </w:rPr>
            </w:pPr>
            <w:r w:rsidRPr="00EF443D">
              <w:rPr>
                <w:rFonts w:cs="Century" w:hint="eastAsia"/>
              </w:rPr>
              <w:t>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7D0BFE7E" w:rsidR="00450CBF" w:rsidRPr="00EF443D" w:rsidRDefault="00450CBF" w:rsidP="00572D52">
            <w:pPr>
              <w:pStyle w:val="af6"/>
              <w:numPr>
                <w:ilvl w:val="0"/>
                <w:numId w:val="46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EF443D">
              <w:rPr>
                <w:rFonts w:cs="Century" w:hint="eastAsia"/>
              </w:rPr>
              <w:t xml:space="preserve">　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07159439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④　消費者等</w:t>
            </w:r>
            <w:r w:rsidRPr="00EF443D">
              <w:rPr>
                <w:rFonts w:cs="Century" w:hint="eastAsia"/>
                <w:color w:val="auto"/>
              </w:rPr>
              <w:t>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67F46A20" w:rsidR="00450CBF" w:rsidRPr="00572D52" w:rsidRDefault="00572D52" w:rsidP="00572D52">
            <w:pPr>
              <w:spacing w:line="280" w:lineRule="exact"/>
              <w:rPr>
                <w:rFonts w:cs="Century"/>
              </w:rPr>
            </w:pPr>
            <w:r>
              <w:rPr>
                <mc:AlternateContent>
                  <mc:Choice Requires="w16se">
                    <w:rFonts w:cs="Century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450CBF" w:rsidRPr="00572D52">
              <w:rPr>
                <w:rFonts w:cs="Century" w:hint="eastAsia"/>
              </w:rPr>
              <w:t xml:space="preserve">　資金計画の確実性（金融機関からの理解が得られ</w:t>
            </w:r>
          </w:p>
          <w:p w14:paraId="0ABFE712" w14:textId="1529301E" w:rsidR="00450CBF" w:rsidRPr="00EF443D" w:rsidRDefault="00450CBF" w:rsidP="00450CBF">
            <w:pPr>
              <w:spacing w:line="280" w:lineRule="exact"/>
              <w:ind w:firstLineChars="100" w:firstLine="210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 xml:space="preserve">　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23EB04F4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⑥</w:t>
            </w:r>
            <w:r w:rsidRPr="00EF443D">
              <w:rPr>
                <w:rFonts w:cs="Century" w:hint="eastAsia"/>
                <w:color w:val="auto"/>
              </w:rPr>
              <w:t xml:space="preserve">　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450CBF" w:rsidRDefault="00450CBF" w:rsidP="00450CBF">
      <w:pPr>
        <w:widowControl/>
        <w:spacing w:line="0" w:lineRule="atLeast"/>
        <w:ind w:left="496" w:hangingChars="236" w:hanging="496"/>
        <w:jc w:val="left"/>
        <w:rPr>
          <w:rFonts w:ascii="ＭＳ 明朝" w:hAnsi="ＭＳ 明朝"/>
          <w:color w:val="auto"/>
          <w:szCs w:val="24"/>
        </w:rPr>
      </w:pPr>
      <w:r w:rsidRPr="00450CBF">
        <w:rPr>
          <w:rFonts w:ascii="ＭＳ 明朝" w:hAnsi="ＭＳ 明朝" w:hint="eastAsia"/>
          <w:color w:val="auto"/>
          <w:szCs w:val="24"/>
        </w:rPr>
        <w:lastRenderedPageBreak/>
        <w:t>注１．提案事業の客観的評価がある場合</w:t>
      </w:r>
      <w:r w:rsidR="00F103E0">
        <w:rPr>
          <w:rFonts w:ascii="ＭＳ 明朝" w:hAnsi="ＭＳ 明朝" w:hint="eastAsia"/>
          <w:color w:val="auto"/>
          <w:szCs w:val="24"/>
        </w:rPr>
        <w:t>や提案事業の実施に当たり財務相談</w:t>
      </w:r>
      <w:r w:rsidR="00CE11C4">
        <w:rPr>
          <w:rFonts w:ascii="ＭＳ 明朝" w:hAnsi="ＭＳ 明朝" w:hint="eastAsia"/>
          <w:color w:val="auto"/>
          <w:szCs w:val="24"/>
        </w:rPr>
        <w:t>機関による支援を予定している場合には、その内容を「⑥</w:t>
      </w:r>
      <w:r w:rsidR="00DC6965" w:rsidRPr="00450CBF">
        <w:rPr>
          <w:rFonts w:ascii="ＭＳ 明朝" w:hAnsi="ＭＳ 明朝" w:hint="eastAsia"/>
          <w:color w:val="auto"/>
          <w:szCs w:val="24"/>
        </w:rPr>
        <w:t>その他」欄に記載してください。</w:t>
      </w:r>
    </w:p>
    <w:p w14:paraId="0ABFE725" w14:textId="5774768B" w:rsidR="00DC6965" w:rsidRPr="00450CBF" w:rsidRDefault="00450CBF" w:rsidP="00450CBF">
      <w:pPr>
        <w:spacing w:line="0" w:lineRule="atLeast"/>
        <w:ind w:left="210" w:hangingChars="100" w:hanging="210"/>
        <w:rPr>
          <w:rFonts w:ascii="ＭＳ 明朝" w:hAnsi="ＭＳ 明朝"/>
          <w:color w:val="auto"/>
          <w:szCs w:val="24"/>
        </w:rPr>
      </w:pPr>
      <w:r w:rsidRPr="00450CBF">
        <w:rPr>
          <w:rFonts w:ascii="ＭＳ 明朝" w:hAnsi="ＭＳ 明朝" w:hint="eastAsia"/>
          <w:color w:val="auto"/>
          <w:szCs w:val="24"/>
        </w:rPr>
        <w:t>注２</w:t>
      </w:r>
      <w:r w:rsidR="00F103E0">
        <w:rPr>
          <w:rFonts w:ascii="ＭＳ 明朝" w:hAnsi="ＭＳ 明朝" w:hint="eastAsia"/>
          <w:color w:val="auto"/>
          <w:szCs w:val="24"/>
        </w:rPr>
        <w:t>．上記の代表者名欄に記入する氏名は、本書を確認する財務相談</w:t>
      </w:r>
      <w:r w:rsidR="00DC6965" w:rsidRPr="00450CBF">
        <w:rPr>
          <w:rFonts w:ascii="ＭＳ 明朝" w:hAnsi="ＭＳ 明朝" w:hint="eastAsia"/>
          <w:color w:val="auto"/>
          <w:szCs w:val="24"/>
        </w:rPr>
        <w:t>機関の内部規定等により判断してください。</w:t>
      </w:r>
    </w:p>
    <w:p w14:paraId="0ABFE727" w14:textId="37D45E4A" w:rsidR="00DC6965" w:rsidRPr="00450CBF" w:rsidRDefault="00450CBF" w:rsidP="00450CBF">
      <w:pPr>
        <w:spacing w:line="0" w:lineRule="atLeast"/>
        <w:ind w:left="210" w:hangingChars="100" w:hanging="210"/>
        <w:rPr>
          <w:rFonts w:ascii="ＭＳ 明朝" w:hAnsi="ＭＳ 明朝"/>
          <w:color w:val="auto"/>
          <w:szCs w:val="24"/>
        </w:rPr>
      </w:pPr>
      <w:r w:rsidRPr="00450CBF">
        <w:rPr>
          <w:rFonts w:ascii="ＭＳ 明朝" w:hAnsi="ＭＳ 明朝" w:hint="eastAsia"/>
          <w:color w:val="auto"/>
          <w:szCs w:val="24"/>
        </w:rPr>
        <w:t>注３</w:t>
      </w:r>
      <w:r w:rsidR="00DC6965" w:rsidRPr="00450CBF">
        <w:rPr>
          <w:rFonts w:ascii="ＭＳ 明朝" w:hAnsi="ＭＳ 明朝" w:hint="eastAsia"/>
          <w:color w:val="auto"/>
          <w:szCs w:val="24"/>
        </w:rPr>
        <w:t>．本確認書は融資の確約を前提としたものではありません。</w:t>
      </w:r>
    </w:p>
    <w:p w14:paraId="0ABFE728" w14:textId="77777777" w:rsidR="00DC6965" w:rsidRPr="00450CBF" w:rsidRDefault="00DC6965" w:rsidP="00450CBF">
      <w:pPr>
        <w:spacing w:line="220" w:lineRule="exact"/>
        <w:ind w:left="270" w:hangingChars="193" w:hanging="270"/>
        <w:jc w:val="left"/>
        <w:rPr>
          <w:rFonts w:ascii="ＭＳ Ｐゴシック" w:eastAsia="ＭＳ Ｐゴシック" w:hAnsi="ＭＳ Ｐゴシック"/>
          <w:color w:val="auto"/>
          <w:sz w:val="14"/>
          <w:szCs w:val="18"/>
        </w:rPr>
      </w:pPr>
    </w:p>
    <w:sectPr w:rsidR="00DC6965" w:rsidRPr="00450CBF" w:rsidSect="00335264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24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11062"/>
      <w:docPartObj>
        <w:docPartGallery w:val="Page Numbers (Bottom of Page)"/>
        <w:docPartUnique/>
      </w:docPartObj>
    </w:sdtPr>
    <w:sdtContent>
      <w:p w14:paraId="0CFF52E3" w14:textId="40F5CFE1" w:rsidR="00335264" w:rsidRDefault="003352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264">
          <w:rPr>
            <w:noProof/>
            <w:lang w:val="ja-JP"/>
          </w:rPr>
          <w:t>24</w:t>
        </w:r>
        <w:r>
          <w:fldChar w:fldCharType="end"/>
        </w:r>
      </w:p>
    </w:sdtContent>
  </w:sdt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3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6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1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5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2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4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5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30"/>
  </w:num>
  <w:num w:numId="5">
    <w:abstractNumId w:val="2"/>
  </w:num>
  <w:num w:numId="6">
    <w:abstractNumId w:val="7"/>
  </w:num>
  <w:num w:numId="7">
    <w:abstractNumId w:val="11"/>
  </w:num>
  <w:num w:numId="8">
    <w:abstractNumId w:val="34"/>
  </w:num>
  <w:num w:numId="9">
    <w:abstractNumId w:val="15"/>
  </w:num>
  <w:num w:numId="10">
    <w:abstractNumId w:val="23"/>
  </w:num>
  <w:num w:numId="11">
    <w:abstractNumId w:val="19"/>
  </w:num>
  <w:num w:numId="12">
    <w:abstractNumId w:val="45"/>
  </w:num>
  <w:num w:numId="13">
    <w:abstractNumId w:val="33"/>
  </w:num>
  <w:num w:numId="14">
    <w:abstractNumId w:val="16"/>
  </w:num>
  <w:num w:numId="15">
    <w:abstractNumId w:val="29"/>
  </w:num>
  <w:num w:numId="16">
    <w:abstractNumId w:val="25"/>
  </w:num>
  <w:num w:numId="17">
    <w:abstractNumId w:val="27"/>
  </w:num>
  <w:num w:numId="18">
    <w:abstractNumId w:val="18"/>
  </w:num>
  <w:num w:numId="19">
    <w:abstractNumId w:val="5"/>
  </w:num>
  <w:num w:numId="20">
    <w:abstractNumId w:val="42"/>
  </w:num>
  <w:num w:numId="21">
    <w:abstractNumId w:val="6"/>
  </w:num>
  <w:num w:numId="22">
    <w:abstractNumId w:val="22"/>
  </w:num>
  <w:num w:numId="23">
    <w:abstractNumId w:val="24"/>
  </w:num>
  <w:num w:numId="24">
    <w:abstractNumId w:val="10"/>
  </w:num>
  <w:num w:numId="25">
    <w:abstractNumId w:val="12"/>
  </w:num>
  <w:num w:numId="26">
    <w:abstractNumId w:val="43"/>
  </w:num>
  <w:num w:numId="27">
    <w:abstractNumId w:val="1"/>
  </w:num>
  <w:num w:numId="28">
    <w:abstractNumId w:val="35"/>
  </w:num>
  <w:num w:numId="29">
    <w:abstractNumId w:val="20"/>
  </w:num>
  <w:num w:numId="30">
    <w:abstractNumId w:val="14"/>
  </w:num>
  <w:num w:numId="31">
    <w:abstractNumId w:val="26"/>
  </w:num>
  <w:num w:numId="32">
    <w:abstractNumId w:val="17"/>
  </w:num>
  <w:num w:numId="33">
    <w:abstractNumId w:val="44"/>
  </w:num>
  <w:num w:numId="34">
    <w:abstractNumId w:val="21"/>
  </w:num>
  <w:num w:numId="35">
    <w:abstractNumId w:val="41"/>
  </w:num>
  <w:num w:numId="36">
    <w:abstractNumId w:val="8"/>
  </w:num>
  <w:num w:numId="37">
    <w:abstractNumId w:val="38"/>
  </w:num>
  <w:num w:numId="38">
    <w:abstractNumId w:val="36"/>
  </w:num>
  <w:num w:numId="39">
    <w:abstractNumId w:val="4"/>
  </w:num>
  <w:num w:numId="40">
    <w:abstractNumId w:val="13"/>
  </w:num>
  <w:num w:numId="41">
    <w:abstractNumId w:val="39"/>
  </w:num>
  <w:num w:numId="42">
    <w:abstractNumId w:val="28"/>
  </w:num>
  <w:num w:numId="43">
    <w:abstractNumId w:val="9"/>
  </w:num>
  <w:num w:numId="44">
    <w:abstractNumId w:val="32"/>
  </w:num>
  <w:num w:numId="45">
    <w:abstractNumId w:val="40"/>
  </w:num>
  <w:num w:numId="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7B6B"/>
    <w:rsid w:val="00032AD6"/>
    <w:rsid w:val="00036665"/>
    <w:rsid w:val="0004342E"/>
    <w:rsid w:val="0005284D"/>
    <w:rsid w:val="000529B8"/>
    <w:rsid w:val="0006003B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6002C8"/>
    <w:rsid w:val="006159F2"/>
    <w:rsid w:val="00617C83"/>
    <w:rsid w:val="00621191"/>
    <w:rsid w:val="00624EA9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63CF7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D53C-7612-4676-B1C6-A344188C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233</Characters>
  <Application>Microsoft Office Word</Application>
  <DocSecurity>0</DocSecurity>
  <Lines>1</Lines>
  <Paragraphs>1</Paragraphs>
  <ScaleCrop>false</ScaleCrop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2017-05-11T00:00:00Z</dcterms:created>
  <dcterms:modified xsi:type="dcterms:W3CDTF">2017-05-15T06:36:00Z</dcterms:modified>
</cp:coreProperties>
</file>